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0" w:rsidRDefault="007F6210" w:rsidP="006A1B2F">
      <w:pPr>
        <w:jc w:val="center"/>
        <w:rPr>
          <w:b/>
          <w:sz w:val="36"/>
          <w:szCs w:val="36"/>
        </w:rPr>
      </w:pPr>
    </w:p>
    <w:p w:rsidR="007F6210" w:rsidRDefault="007F6210" w:rsidP="006A1B2F">
      <w:pPr>
        <w:jc w:val="center"/>
        <w:rPr>
          <w:b/>
          <w:sz w:val="36"/>
          <w:szCs w:val="36"/>
        </w:rPr>
      </w:pPr>
      <w:r w:rsidRPr="007F6210">
        <w:rPr>
          <w:b/>
          <w:noProof/>
          <w:sz w:val="36"/>
          <w:szCs w:val="36"/>
          <w:lang w:val="en-IN" w:eastAsia="en-IN" w:bidi="bn-IN"/>
        </w:rPr>
        <w:drawing>
          <wp:inline distT="0" distB="0" distL="0" distR="0">
            <wp:extent cx="681889" cy="504825"/>
            <wp:effectExtent l="19050" t="0" r="3911" b="0"/>
            <wp:docPr id="4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0" cy="5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F" w:rsidRPr="00CD6708" w:rsidRDefault="006A1B2F" w:rsidP="006A1B2F">
      <w:pPr>
        <w:jc w:val="center"/>
        <w:rPr>
          <w:b/>
          <w:sz w:val="36"/>
          <w:szCs w:val="36"/>
        </w:rPr>
      </w:pPr>
      <w:r w:rsidRPr="00CD6708">
        <w:rPr>
          <w:b/>
          <w:sz w:val="36"/>
          <w:szCs w:val="36"/>
        </w:rPr>
        <w:t>NOTICE</w:t>
      </w:r>
      <w:r w:rsidR="00E02207">
        <w:rPr>
          <w:b/>
          <w:sz w:val="36"/>
          <w:szCs w:val="36"/>
        </w:rPr>
        <w:t xml:space="preserve"> INVITING TENDER</w:t>
      </w:r>
    </w:p>
    <w:p w:rsidR="006A1B2F" w:rsidRPr="00CD6708" w:rsidRDefault="006A1B2F" w:rsidP="006A1B2F">
      <w:pPr>
        <w:jc w:val="center"/>
        <w:rPr>
          <w:b/>
          <w:sz w:val="28"/>
          <w:szCs w:val="28"/>
        </w:rPr>
      </w:pPr>
      <w:r w:rsidRPr="00CD6708">
        <w:rPr>
          <w:b/>
          <w:sz w:val="28"/>
          <w:szCs w:val="28"/>
        </w:rPr>
        <w:t>Khejuri College</w:t>
      </w:r>
    </w:p>
    <w:p w:rsidR="006A1B2F" w:rsidRPr="00CD6708" w:rsidRDefault="006A1B2F" w:rsidP="00963DC5">
      <w:pPr>
        <w:jc w:val="center"/>
        <w:rPr>
          <w:b/>
        </w:rPr>
      </w:pPr>
      <w:proofErr w:type="spellStart"/>
      <w:r w:rsidRPr="00CD6708">
        <w:rPr>
          <w:b/>
        </w:rPr>
        <w:t>Baratala</w:t>
      </w:r>
      <w:proofErr w:type="spellEnd"/>
      <w:r w:rsidRPr="00CD6708">
        <w:rPr>
          <w:b/>
        </w:rPr>
        <w:t xml:space="preserve">, </w:t>
      </w:r>
      <w:proofErr w:type="spellStart"/>
      <w:r w:rsidRPr="00CD6708">
        <w:rPr>
          <w:b/>
        </w:rPr>
        <w:t>Purba</w:t>
      </w:r>
      <w:proofErr w:type="spellEnd"/>
      <w:r w:rsidRPr="00CD6708">
        <w:rPr>
          <w:b/>
        </w:rPr>
        <w:t xml:space="preserve"> </w:t>
      </w:r>
      <w:proofErr w:type="spellStart"/>
      <w:r w:rsidRPr="00CD6708">
        <w:rPr>
          <w:b/>
        </w:rPr>
        <w:t>Medinipur</w:t>
      </w:r>
      <w:proofErr w:type="spellEnd"/>
      <w:r w:rsidRPr="00CD6708">
        <w:rPr>
          <w:b/>
        </w:rPr>
        <w:t>, Pin – 721431</w:t>
      </w:r>
    </w:p>
    <w:p w:rsidR="006A1B2F" w:rsidRPr="00CD6708" w:rsidRDefault="006A1B2F" w:rsidP="006A1B2F">
      <w:pPr>
        <w:rPr>
          <w:b/>
        </w:rPr>
      </w:pPr>
    </w:p>
    <w:p w:rsidR="006A1B2F" w:rsidRPr="00CD6708" w:rsidRDefault="00810B36" w:rsidP="006A1B2F">
      <w:pPr>
        <w:rPr>
          <w:b/>
        </w:rPr>
      </w:pPr>
      <w:r>
        <w:rPr>
          <w:b/>
        </w:rPr>
        <w:t>Memo No:  KC/ TENDER/</w:t>
      </w:r>
      <w:r w:rsidR="001003E4">
        <w:rPr>
          <w:b/>
        </w:rPr>
        <w:t>70</w:t>
      </w:r>
      <w:r w:rsidR="006A44CF">
        <w:rPr>
          <w:b/>
        </w:rPr>
        <w:t>/2020-21</w:t>
      </w:r>
      <w:r w:rsidR="006A1B2F" w:rsidRPr="00CD6708">
        <w:rPr>
          <w:b/>
        </w:rPr>
        <w:t xml:space="preserve">                                                            </w:t>
      </w:r>
      <w:r w:rsidR="00B67D79">
        <w:rPr>
          <w:b/>
        </w:rPr>
        <w:t xml:space="preserve">                       </w:t>
      </w:r>
      <w:r w:rsidR="006A1B2F" w:rsidRPr="00CD6708">
        <w:rPr>
          <w:b/>
        </w:rPr>
        <w:t xml:space="preserve">Date: </w:t>
      </w:r>
      <w:r>
        <w:rPr>
          <w:b/>
        </w:rPr>
        <w:t>15</w:t>
      </w:r>
      <w:r w:rsidR="006A44CF">
        <w:rPr>
          <w:b/>
        </w:rPr>
        <w:t>.02.2021</w:t>
      </w:r>
    </w:p>
    <w:p w:rsidR="006A1B2F" w:rsidRPr="00CD6708" w:rsidRDefault="006A1B2F" w:rsidP="006A1B2F">
      <w:pPr>
        <w:rPr>
          <w:b/>
        </w:rPr>
      </w:pPr>
    </w:p>
    <w:p w:rsidR="006A1B2F" w:rsidRPr="009C5287" w:rsidRDefault="006A1B2F" w:rsidP="00963DC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tender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are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3A5EF1">
        <w:rPr>
          <w:rFonts w:ascii="Times New Roman" w:hAnsi="Times New Roman" w:cs="Times New Roman"/>
          <w:b/>
          <w:sz w:val="20"/>
          <w:szCs w:val="20"/>
        </w:rPr>
        <w:t>TMT B</w:t>
      </w:r>
      <w:r w:rsidR="0031759D">
        <w:rPr>
          <w:rFonts w:ascii="Times New Roman" w:hAnsi="Times New Roman" w:cs="Times New Roman"/>
          <w:b/>
          <w:sz w:val="20"/>
          <w:szCs w:val="20"/>
        </w:rPr>
        <w:t>ars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according to the following list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.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6052C1" w:rsidRPr="009C5287">
        <w:rPr>
          <w:rFonts w:ascii="Times New Roman" w:hAnsi="Times New Roman" w:cs="Times New Roman"/>
          <w:b/>
          <w:sz w:val="20"/>
          <w:szCs w:val="20"/>
        </w:rPr>
        <w:t xml:space="preserve">he </w:t>
      </w:r>
      <w:r w:rsidR="006A44CF">
        <w:rPr>
          <w:rFonts w:ascii="Times New Roman" w:hAnsi="Times New Roman" w:cs="Times New Roman"/>
          <w:b/>
          <w:sz w:val="20"/>
          <w:szCs w:val="20"/>
        </w:rPr>
        <w:t>quotation</w:t>
      </w:r>
      <w:r w:rsidR="006052C1" w:rsidRPr="009C5287">
        <w:rPr>
          <w:rFonts w:ascii="Times New Roman" w:hAnsi="Times New Roman" w:cs="Times New Roman"/>
          <w:b/>
          <w:sz w:val="20"/>
          <w:szCs w:val="20"/>
        </w:rPr>
        <w:t xml:space="preserve"> submitting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1F36EF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="00810B36">
        <w:rPr>
          <w:rFonts w:ascii="Times New Roman" w:hAnsi="Times New Roman" w:cs="Times New Roman"/>
          <w:b/>
          <w:sz w:val="20"/>
          <w:szCs w:val="20"/>
        </w:rPr>
        <w:t>and from 15</w:t>
      </w:r>
      <w:r w:rsidR="009842E6">
        <w:rPr>
          <w:rFonts w:ascii="Times New Roman" w:hAnsi="Times New Roman" w:cs="Times New Roman"/>
          <w:b/>
          <w:sz w:val="20"/>
          <w:szCs w:val="20"/>
        </w:rPr>
        <w:t xml:space="preserve">.02.2021 to </w:t>
      </w:r>
      <w:proofErr w:type="gramStart"/>
      <w:r w:rsidR="009842E6">
        <w:rPr>
          <w:rFonts w:ascii="Times New Roman" w:hAnsi="Times New Roman" w:cs="Times New Roman"/>
          <w:b/>
          <w:sz w:val="20"/>
          <w:szCs w:val="20"/>
        </w:rPr>
        <w:t>22</w:t>
      </w:r>
      <w:r w:rsidR="006A44CF">
        <w:rPr>
          <w:rFonts w:ascii="Times New Roman" w:hAnsi="Times New Roman" w:cs="Times New Roman"/>
          <w:b/>
          <w:sz w:val="20"/>
          <w:szCs w:val="20"/>
        </w:rPr>
        <w:t>.02.2021</w:t>
      </w:r>
      <w:r w:rsidR="00385879">
        <w:rPr>
          <w:rFonts w:ascii="Times New Roman" w:hAnsi="Times New Roman" w:cs="Times New Roman"/>
          <w:b/>
          <w:sz w:val="20"/>
          <w:szCs w:val="20"/>
        </w:rPr>
        <w:t xml:space="preserve">  from</w:t>
      </w:r>
      <w:proofErr w:type="gramEnd"/>
      <w:r w:rsidR="00385879">
        <w:rPr>
          <w:rFonts w:ascii="Times New Roman" w:hAnsi="Times New Roman" w:cs="Times New Roman"/>
          <w:b/>
          <w:sz w:val="20"/>
          <w:szCs w:val="20"/>
        </w:rPr>
        <w:t xml:space="preserve"> 11 am to 2 .30 pm. at the college office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. The </w:t>
      </w:r>
      <w:r w:rsidR="006A44CF">
        <w:rPr>
          <w:rFonts w:ascii="Times New Roman" w:hAnsi="Times New Roman" w:cs="Times New Roman"/>
          <w:b/>
          <w:sz w:val="20"/>
          <w:szCs w:val="20"/>
        </w:rPr>
        <w:t xml:space="preserve">quotation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opening date is on </w:t>
      </w:r>
      <w:r w:rsidR="009842E6">
        <w:rPr>
          <w:rFonts w:ascii="Times New Roman" w:hAnsi="Times New Roman" w:cs="Times New Roman"/>
          <w:b/>
          <w:sz w:val="20"/>
          <w:szCs w:val="20"/>
        </w:rPr>
        <w:t>23</w:t>
      </w:r>
      <w:r w:rsidR="006A44CF">
        <w:rPr>
          <w:rFonts w:ascii="Times New Roman" w:hAnsi="Times New Roman" w:cs="Times New Roman"/>
          <w:b/>
          <w:sz w:val="20"/>
          <w:szCs w:val="20"/>
        </w:rPr>
        <w:t>.02.2021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6A44CF">
        <w:rPr>
          <w:rFonts w:ascii="Times New Roman" w:hAnsi="Times New Roman" w:cs="Times New Roman"/>
          <w:b/>
          <w:sz w:val="20"/>
          <w:szCs w:val="20"/>
        </w:rPr>
        <w:t>2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pm.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After due consideration of cost and quality, the supplier will be chosen within a short time.</w:t>
      </w: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1F36EF" w:rsidRPr="00CD6708" w:rsidTr="00963DC5">
        <w:trPr>
          <w:trHeight w:val="294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963DC5" w:rsidRDefault="001F36EF" w:rsidP="00BF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963DC5" w:rsidRDefault="001F36EF" w:rsidP="00BF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963DC5" w:rsidRDefault="001F36EF" w:rsidP="00BF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EF" w:rsidRPr="00963DC5" w:rsidRDefault="001F36EF" w:rsidP="00BF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Total Volume</w:t>
            </w:r>
          </w:p>
        </w:tc>
      </w:tr>
      <w:tr w:rsidR="00DA4F95" w:rsidRPr="00CD6708" w:rsidTr="00963DC5">
        <w:trPr>
          <w:trHeight w:val="294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95" w:rsidRPr="00963DC5" w:rsidRDefault="00DA4F95" w:rsidP="00BF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95" w:rsidRPr="00963DC5" w:rsidRDefault="00DA4F95" w:rsidP="00C31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TMT Bar (600)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95" w:rsidRPr="00963DC5" w:rsidRDefault="00227506" w:rsidP="00227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Circumference: </w:t>
            </w:r>
            <w:r w:rsidR="00DA4F95"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16MM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95" w:rsidRPr="00963DC5" w:rsidRDefault="006A44CF" w:rsidP="006A4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A4F95"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pieces</w:t>
            </w:r>
          </w:p>
        </w:tc>
      </w:tr>
      <w:tr w:rsidR="00DC3528" w:rsidRPr="00CD6708" w:rsidTr="00963DC5">
        <w:trPr>
          <w:trHeight w:val="588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28" w:rsidRPr="00963DC5" w:rsidRDefault="009842E6" w:rsidP="00BF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3528"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28" w:rsidRPr="00963DC5" w:rsidRDefault="00DC3528" w:rsidP="00C31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TMT BAR (600)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28" w:rsidRPr="00963DC5" w:rsidRDefault="00DC3528" w:rsidP="00227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>Circumference: 10 MM</w:t>
            </w:r>
          </w:p>
          <w:p w:rsidR="00DC3528" w:rsidRPr="00963DC5" w:rsidRDefault="00DC3528" w:rsidP="00227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28" w:rsidRPr="00963DC5" w:rsidRDefault="006A44CF" w:rsidP="006A4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DC3528" w:rsidRPr="00963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Pieces</w:t>
            </w:r>
          </w:p>
        </w:tc>
      </w:tr>
    </w:tbl>
    <w:p w:rsidR="006A1B2F" w:rsidRPr="009C5287" w:rsidRDefault="006A1B2F" w:rsidP="00963DC5">
      <w:pPr>
        <w:tabs>
          <w:tab w:val="left" w:pos="8325"/>
        </w:tabs>
        <w:rPr>
          <w:rFonts w:ascii="Times New Roman" w:hAnsi="Times New Roman" w:cs="Times New Roman"/>
          <w:sz w:val="20"/>
          <w:szCs w:val="20"/>
        </w:rPr>
      </w:pPr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9C5287">
        <w:rPr>
          <w:rFonts w:ascii="Times New Roman" w:hAnsi="Times New Roman" w:cs="Times New Roman"/>
          <w:b/>
          <w:sz w:val="20"/>
          <w:szCs w:val="20"/>
          <w:u w:val="single"/>
        </w:rPr>
        <w:t>Terms and Conditions for submission of Tender Paper for supplying of Items.</w:t>
      </w:r>
      <w:proofErr w:type="gramEnd"/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 xml:space="preserve">The rate of items must be written in both words and figures clearly and differently. Overwriting/correction, if </w:t>
      </w:r>
      <w:proofErr w:type="gramStart"/>
      <w:r w:rsidRPr="009C5287">
        <w:rPr>
          <w:rFonts w:ascii="Times New Roman" w:hAnsi="Times New Roman" w:cs="Times New Roman"/>
          <w:b/>
          <w:sz w:val="20"/>
          <w:szCs w:val="20"/>
        </w:rPr>
        <w:t>any ,</w:t>
      </w:r>
      <w:proofErr w:type="gram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 must be authenticated with the signature of the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tenderer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>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 xml:space="preserve">The supply of items must be made to the Principal,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9C5287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9C5287">
        <w:rPr>
          <w:rFonts w:ascii="Times New Roman" w:hAnsi="Times New Roman" w:cs="Times New Roman"/>
          <w:b/>
          <w:sz w:val="20"/>
          <w:szCs w:val="20"/>
        </w:rPr>
        <w:t>-721431.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 xml:space="preserve">The rate must include all taxes,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sur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-charges, if any, and carriages up to the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9C5287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proofErr w:type="gram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>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Copy of PAN Card/</w:t>
      </w:r>
      <w:proofErr w:type="spellStart"/>
      <w:r w:rsidRPr="009C5287">
        <w:rPr>
          <w:rFonts w:ascii="Times New Roman" w:hAnsi="Times New Roman" w:cs="Times New Roman"/>
          <w:b/>
          <w:sz w:val="20"/>
          <w:szCs w:val="20"/>
        </w:rPr>
        <w:t>Saral</w:t>
      </w:r>
      <w:proofErr w:type="spellEnd"/>
      <w:r w:rsidRPr="009C5287">
        <w:rPr>
          <w:rFonts w:ascii="Times New Roman" w:hAnsi="Times New Roman" w:cs="Times New Roman"/>
          <w:b/>
          <w:sz w:val="20"/>
          <w:szCs w:val="20"/>
        </w:rPr>
        <w:t>/ Vat Registration/ P. Tax clearance certificate of current validity must be enclosed with the tender paper.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Copy of Trade License to carry on business must be produced with the tender paper.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The undersigned reserves the right to accept any or reject any or all the tenders without assigning any reason thereof.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The undersigned also reserves the right to distribute the work among the suppliers.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The undersigned will not take any risk if the tender documents are received beyond the prescribed date and time.</w:t>
      </w:r>
    </w:p>
    <w:p w:rsidR="00CD6708" w:rsidRPr="009C5287" w:rsidRDefault="00CD6708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The supplier, after procuring the tender, must discuss with the undersigned about the specific number of items of various sizes which would be ordered by the college.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The items must be supplied within fifteen days from the date of receipt of supply order.</w:t>
      </w:r>
    </w:p>
    <w:p w:rsidR="006A1B2F" w:rsidRPr="009C5287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No tender will be accepted from individual/s attached to the college by any means.</w:t>
      </w:r>
    </w:p>
    <w:p w:rsidR="00963DC5" w:rsidRDefault="00D043BA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Quantity</w:t>
      </w:r>
      <w:r w:rsidR="00DE7BCC" w:rsidRPr="009C5287">
        <w:rPr>
          <w:rFonts w:ascii="Times New Roman" w:hAnsi="Times New Roman" w:cs="Times New Roman"/>
          <w:b/>
          <w:sz w:val="20"/>
          <w:szCs w:val="20"/>
        </w:rPr>
        <w:t xml:space="preserve"> of articles to be supplied are</w:t>
      </w:r>
      <w:proofErr w:type="gramEnd"/>
      <w:r w:rsidR="00DE7BCC" w:rsidRPr="009C5287">
        <w:rPr>
          <w:rFonts w:ascii="Times New Roman" w:hAnsi="Times New Roman" w:cs="Times New Roman"/>
          <w:b/>
          <w:sz w:val="20"/>
          <w:szCs w:val="20"/>
        </w:rPr>
        <w:t xml:space="preserve"> subject to change as per requirement.</w:t>
      </w:r>
    </w:p>
    <w:p w:rsidR="00963DC5" w:rsidRPr="00EF2EE0" w:rsidRDefault="00963DC5" w:rsidP="00963DC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b/>
          <w:sz w:val="20"/>
          <w:szCs w:val="20"/>
        </w:rPr>
      </w:pPr>
      <w:r w:rsidRPr="00EF2EE0">
        <w:rPr>
          <w:b/>
          <w:sz w:val="20"/>
          <w:szCs w:val="20"/>
        </w:rPr>
        <w:t xml:space="preserve">The deadline for completion of work, as it would be mention in the work order </w:t>
      </w:r>
      <w:proofErr w:type="gramStart"/>
      <w:r w:rsidRPr="00EF2EE0">
        <w:rPr>
          <w:b/>
          <w:sz w:val="20"/>
          <w:szCs w:val="20"/>
        </w:rPr>
        <w:t>must  be</w:t>
      </w:r>
      <w:proofErr w:type="gramEnd"/>
      <w:r w:rsidRPr="00EF2EE0">
        <w:rPr>
          <w:b/>
          <w:sz w:val="20"/>
          <w:szCs w:val="20"/>
        </w:rPr>
        <w:t xml:space="preserve"> strictly maintain.</w:t>
      </w:r>
    </w:p>
    <w:p w:rsidR="00963DC5" w:rsidRPr="00EF2EE0" w:rsidRDefault="00963DC5" w:rsidP="00963DC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b/>
          <w:sz w:val="20"/>
          <w:szCs w:val="20"/>
        </w:rPr>
      </w:pPr>
      <w:r w:rsidRPr="00EF2EE0">
        <w:rPr>
          <w:b/>
          <w:sz w:val="20"/>
          <w:szCs w:val="20"/>
        </w:rPr>
        <w:t>With regards to process of selection concerning tender, the decision of college authority will be final.</w:t>
      </w:r>
    </w:p>
    <w:p w:rsidR="006A1B2F" w:rsidRPr="00963DC5" w:rsidRDefault="00DE7BCC" w:rsidP="00963DC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DC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A1B2F" w:rsidRDefault="007637B4" w:rsidP="007637B4">
      <w:pPr>
        <w:tabs>
          <w:tab w:val="left" w:pos="772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637B4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990600" cy="266700"/>
            <wp:effectExtent l="19050" t="0" r="0" b="0"/>
            <wp:docPr id="5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B4" w:rsidRPr="009C5287" w:rsidRDefault="007637B4" w:rsidP="006A1B2F">
      <w:pPr>
        <w:rPr>
          <w:rFonts w:ascii="Times New Roman" w:hAnsi="Times New Roman" w:cs="Times New Roman"/>
          <w:sz w:val="20"/>
          <w:szCs w:val="20"/>
        </w:rPr>
      </w:pPr>
    </w:p>
    <w:p w:rsidR="006A1B2F" w:rsidRPr="00C44C9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C44C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Principal</w:t>
      </w:r>
    </w:p>
    <w:p w:rsidR="006A1B2F" w:rsidRPr="00C44C9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C44C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Pr="00C44C9F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C44C9F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C44C9F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C44C9F">
        <w:rPr>
          <w:rFonts w:ascii="Times New Roman" w:hAnsi="Times New Roman" w:cs="Times New Roman"/>
          <w:b/>
          <w:sz w:val="20"/>
          <w:szCs w:val="20"/>
        </w:rPr>
        <w:t>,</w:t>
      </w:r>
    </w:p>
    <w:p w:rsidR="006A1B2F" w:rsidRPr="00C44C9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C44C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C44C9F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C44C9F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C44C9F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proofErr w:type="gramEnd"/>
      <w:r w:rsidRPr="00C44C9F">
        <w:rPr>
          <w:rFonts w:ascii="Times New Roman" w:hAnsi="Times New Roman" w:cs="Times New Roman"/>
          <w:b/>
          <w:sz w:val="20"/>
          <w:szCs w:val="20"/>
        </w:rPr>
        <w:t>, PIN-721431.</w:t>
      </w:r>
    </w:p>
    <w:p w:rsidR="00B67D79" w:rsidRPr="00C44C9F" w:rsidRDefault="00B67D79">
      <w:pPr>
        <w:rPr>
          <w:rFonts w:ascii="Times New Roman" w:hAnsi="Times New Roman" w:cs="Times New Roman"/>
          <w:b/>
          <w:sz w:val="20"/>
          <w:szCs w:val="20"/>
        </w:rPr>
      </w:pPr>
      <w:r w:rsidRPr="00C44C9F">
        <w:rPr>
          <w:rFonts w:ascii="Times New Roman" w:hAnsi="Times New Roman" w:cs="Times New Roman"/>
          <w:b/>
          <w:sz w:val="20"/>
          <w:szCs w:val="20"/>
        </w:rPr>
        <w:t xml:space="preserve">Copy to the </w:t>
      </w:r>
    </w:p>
    <w:p w:rsidR="00652E1F" w:rsidRPr="003418E3" w:rsidRDefault="00652E1F" w:rsidP="00652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 website</w:t>
      </w:r>
    </w:p>
    <w:p w:rsidR="00652E1F" w:rsidRPr="003418E3" w:rsidRDefault="00652E1F" w:rsidP="00652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 Notice Board,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>.</w:t>
      </w:r>
    </w:p>
    <w:p w:rsidR="00652E1F" w:rsidRPr="003418E3" w:rsidRDefault="00652E1F" w:rsidP="00652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Principal/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Burser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52E1F" w:rsidRPr="003418E3" w:rsidRDefault="00652E1F" w:rsidP="00652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Head Clerk-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52E1F" w:rsidRPr="00246EAB" w:rsidRDefault="00652E1F" w:rsidP="00652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AB0A4B" w:rsidRPr="00963DC5" w:rsidRDefault="00AB0A4B" w:rsidP="00652E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AB0A4B" w:rsidRPr="00963DC5" w:rsidSect="00A53E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84193"/>
    <w:rsid w:val="00091A01"/>
    <w:rsid w:val="000C5606"/>
    <w:rsid w:val="000E7825"/>
    <w:rsid w:val="001003E4"/>
    <w:rsid w:val="0013455E"/>
    <w:rsid w:val="001500A1"/>
    <w:rsid w:val="00167E75"/>
    <w:rsid w:val="0019359D"/>
    <w:rsid w:val="001C110E"/>
    <w:rsid w:val="001F36EF"/>
    <w:rsid w:val="00227506"/>
    <w:rsid w:val="002D00A5"/>
    <w:rsid w:val="0031759D"/>
    <w:rsid w:val="00330C0D"/>
    <w:rsid w:val="00380226"/>
    <w:rsid w:val="00385879"/>
    <w:rsid w:val="003A5EF1"/>
    <w:rsid w:val="00593508"/>
    <w:rsid w:val="005B5947"/>
    <w:rsid w:val="005C4356"/>
    <w:rsid w:val="006052C1"/>
    <w:rsid w:val="00652E1F"/>
    <w:rsid w:val="006A1B2F"/>
    <w:rsid w:val="006A44CF"/>
    <w:rsid w:val="006B19A6"/>
    <w:rsid w:val="006C132D"/>
    <w:rsid w:val="006C310F"/>
    <w:rsid w:val="007545D3"/>
    <w:rsid w:val="007637B4"/>
    <w:rsid w:val="007D19EF"/>
    <w:rsid w:val="007D3E94"/>
    <w:rsid w:val="007F6210"/>
    <w:rsid w:val="00810B36"/>
    <w:rsid w:val="00814C46"/>
    <w:rsid w:val="008E139D"/>
    <w:rsid w:val="00963DC5"/>
    <w:rsid w:val="009842E6"/>
    <w:rsid w:val="0099648F"/>
    <w:rsid w:val="009C5287"/>
    <w:rsid w:val="00A37D78"/>
    <w:rsid w:val="00A53E4D"/>
    <w:rsid w:val="00A6482A"/>
    <w:rsid w:val="00AB0A4B"/>
    <w:rsid w:val="00B67D79"/>
    <w:rsid w:val="00B74427"/>
    <w:rsid w:val="00B7613D"/>
    <w:rsid w:val="00B903EB"/>
    <w:rsid w:val="00BE5B39"/>
    <w:rsid w:val="00C0497D"/>
    <w:rsid w:val="00C44C9F"/>
    <w:rsid w:val="00C83354"/>
    <w:rsid w:val="00CD6708"/>
    <w:rsid w:val="00CE4412"/>
    <w:rsid w:val="00D043BA"/>
    <w:rsid w:val="00D91BB9"/>
    <w:rsid w:val="00D96805"/>
    <w:rsid w:val="00DA4F95"/>
    <w:rsid w:val="00DC3528"/>
    <w:rsid w:val="00DE7BCC"/>
    <w:rsid w:val="00E02207"/>
    <w:rsid w:val="00EA76DE"/>
    <w:rsid w:val="00EF560C"/>
    <w:rsid w:val="00F12841"/>
    <w:rsid w:val="00F52498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2019-03-09T11:05:00Z</cp:lastPrinted>
  <dcterms:created xsi:type="dcterms:W3CDTF">2019-06-15T07:46:00Z</dcterms:created>
  <dcterms:modified xsi:type="dcterms:W3CDTF">2021-02-20T07:57:00Z</dcterms:modified>
</cp:coreProperties>
</file>